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271C6" w14:textId="43DBDE6C" w:rsidR="00E134EC" w:rsidRDefault="00B90B22" w:rsidP="00B90B22">
      <w:pPr>
        <w:jc w:val="center"/>
      </w:pPr>
      <w:r>
        <w:rPr>
          <w:rFonts w:ascii="Times New Roman" w:hAnsi="Times New Roman" w:cs="Times New Roman" w:hint="eastAsia"/>
          <w:b/>
          <w:bCs/>
          <w:sz w:val="24"/>
        </w:rPr>
        <w:t xml:space="preserve">Supplementary Table </w:t>
      </w:r>
      <w:bookmarkStart w:id="0" w:name="_GoBack"/>
      <w:bookmarkEnd w:id="0"/>
      <w:r w:rsidR="00E2599B">
        <w:rPr>
          <w:rFonts w:ascii="Times New Roman" w:hAnsi="Times New Roman" w:cs="Times New Roman" w:hint="eastAsia"/>
          <w:b/>
          <w:bCs/>
          <w:sz w:val="24"/>
        </w:rPr>
        <w:t>1</w:t>
      </w:r>
      <w:r w:rsidR="00E2599B">
        <w:rPr>
          <w:rFonts w:ascii="Times New Roman" w:hAnsi="Times New Roman" w:cs="Times New Roman"/>
          <w:b/>
          <w:bCs/>
          <w:sz w:val="24"/>
        </w:rPr>
        <w:t>. Covariate Collinearity Diagnosis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CellMar>
          <w:top w:w="32" w:type="dxa"/>
          <w:left w:w="64" w:type="dxa"/>
          <w:bottom w:w="32" w:type="dxa"/>
          <w:right w:w="64" w:type="dxa"/>
        </w:tblCellMar>
        <w:tblLook w:val="04A0" w:firstRow="1" w:lastRow="0" w:firstColumn="1" w:lastColumn="0" w:noHBand="0" w:noVBand="1"/>
      </w:tblPr>
      <w:tblGrid>
        <w:gridCol w:w="1788"/>
        <w:gridCol w:w="1234"/>
        <w:gridCol w:w="1111"/>
        <w:gridCol w:w="970"/>
        <w:gridCol w:w="1017"/>
        <w:gridCol w:w="542"/>
        <w:gridCol w:w="1115"/>
        <w:gridCol w:w="657"/>
      </w:tblGrid>
      <w:tr w:rsidR="00E134EC" w14:paraId="0D197111" w14:textId="77777777">
        <w:trPr>
          <w:tblHeader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08723" w14:textId="77777777" w:rsidR="00E134EC" w:rsidRDefault="00E134EC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D3B1363" w14:textId="77777777" w:rsidR="00E134EC" w:rsidRDefault="00E2599B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UnstandardizedCoefficients</w:t>
            </w:r>
          </w:p>
        </w:tc>
        <w:tc>
          <w:tcPr>
            <w:tcW w:w="0" w:type="auto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764E6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standardizedcoefficient</w:t>
            </w:r>
          </w:p>
        </w:tc>
        <w:tc>
          <w:tcPr>
            <w:tcW w:w="0" w:type="auto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7BEF3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i/>
                <w:iCs/>
                <w:color w:val="000000"/>
                <w:kern w:val="0"/>
                <w:sz w:val="24"/>
                <w:lang w:bidi="ar"/>
              </w:rPr>
              <w:t>P</w:t>
            </w:r>
          </w:p>
        </w:tc>
        <w:tc>
          <w:tcPr>
            <w:tcW w:w="0" w:type="auto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66CD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Collinearitystatistics</w:t>
            </w:r>
          </w:p>
        </w:tc>
      </w:tr>
      <w:tr w:rsidR="00E134EC" w14:paraId="5F825317" w14:textId="77777777">
        <w:trPr>
          <w:tblHeader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1F66E0" w14:textId="77777777" w:rsidR="00E134EC" w:rsidRDefault="00E134EC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1091570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4090E775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SE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1B0912B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β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2FF286F5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t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A0977A" w14:textId="77777777" w:rsidR="00E134EC" w:rsidRDefault="00E134EC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0390F89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Tolerance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1476D87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VIF</w:t>
            </w:r>
          </w:p>
        </w:tc>
      </w:tr>
      <w:tr w:rsidR="00E134EC" w14:paraId="3AD6E004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73F9A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(constant)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74F3D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1.575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C624FB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0.134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851AB" w14:textId="77777777" w:rsidR="00E134EC" w:rsidRDefault="00E134EC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89825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11.716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30DE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76DE1" w14:textId="77777777" w:rsidR="00E134EC" w:rsidRDefault="00E134EC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39705" w14:textId="77777777" w:rsidR="00E134EC" w:rsidRDefault="00E134EC">
            <w:pPr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E134EC" w14:paraId="23D7FE8C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C2E0A5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Age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88EA8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E6C7F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1FACC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04E5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-1.371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37B85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0.171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435F5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0.253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EDE93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3.945</w:t>
            </w:r>
          </w:p>
        </w:tc>
      </w:tr>
      <w:tr w:rsidR="00E134EC" w14:paraId="79B5ABE5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2359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Race/ethnicity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63D9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8C4C4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D654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-0.026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EF19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-1.341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BCF5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55F61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0.876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257D7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1.141</w:t>
            </w:r>
          </w:p>
        </w:tc>
      </w:tr>
      <w:tr w:rsidR="00E134EC" w14:paraId="273D27F5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EEEB3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Education level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69DAD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38E4C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3FD8A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-0.037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13807B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-1.733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CD861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0.083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15CB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0.727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ADAF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1.376</w:t>
            </w:r>
          </w:p>
        </w:tc>
      </w:tr>
      <w:tr w:rsidR="00E134EC" w14:paraId="7A17853F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0A21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PIR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FBA29C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-0.034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D2ACF5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292E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-0.076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E20A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-3.989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1DBA8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50DDB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0.921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E87C4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1.085</w:t>
            </w:r>
          </w:p>
        </w:tc>
      </w:tr>
      <w:tr w:rsidR="00E134EC" w14:paraId="12C6EEDC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97877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BMI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247EB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0.022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12939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0A15B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0.044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CA43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2.112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FC5FF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0.035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E125E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0.77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9FA59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1.299</w:t>
            </w:r>
          </w:p>
        </w:tc>
      </w:tr>
      <w:tr w:rsidR="00E134EC" w14:paraId="56AE8957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9C610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Alcohol consumption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40DFEA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64A2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6BE12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0.023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627D0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1.169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1878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0.243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768A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0.863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D1D6A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1.159</w:t>
            </w:r>
          </w:p>
        </w:tc>
      </w:tr>
      <w:tr w:rsidR="00E134EC" w14:paraId="56FB6D54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3D124D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Hypertension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231F8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D79B2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FAAC1D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5A88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0.795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7BF96C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0.427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066D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0.82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28CEA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1.22</w:t>
            </w:r>
          </w:p>
        </w:tc>
      </w:tr>
      <w:tr w:rsidR="00E134EC" w14:paraId="34B1A99C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3149B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Diabetes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1B310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0.038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F588A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0B074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0.042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BD670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2.194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5F467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0.028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44BB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0.913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4BDFC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1.095</w:t>
            </w:r>
          </w:p>
        </w:tc>
      </w:tr>
      <w:tr w:rsidR="00E134EC" w14:paraId="02128BBF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1309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Smoking status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221AA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0.049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459BC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3A82E5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0.085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EB54B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4.364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CBE3F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A915BB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0.887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BB17B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1.128</w:t>
            </w:r>
          </w:p>
        </w:tc>
      </w:tr>
      <w:tr w:rsidR="00E134EC" w14:paraId="6FC84F60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CD295C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MVWA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8476E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15894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8EB195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0.064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D48D8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3.352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C5A78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0AA1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0.916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1C5FA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1.091</w:t>
            </w:r>
          </w:p>
        </w:tc>
      </w:tr>
      <w:tr w:rsidR="00E134EC" w14:paraId="6D0250BE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66479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Walking/bicycling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C807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08881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0.027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A2307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22745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0.664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8A3E05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0.507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27721B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0.971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8C3AD7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1.029</w:t>
            </w:r>
          </w:p>
        </w:tc>
      </w:tr>
      <w:tr w:rsidR="00E134EC" w14:paraId="5077CBC1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480F6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MVRA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6BF25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-0.059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482C7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93914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-0.061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C27C2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-3.119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BC58D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FB133D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0.881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A9A1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1.136</w:t>
            </w:r>
          </w:p>
        </w:tc>
      </w:tr>
      <w:tr w:rsidR="00E134EC" w14:paraId="795BDF21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C8F21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SB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BF7CD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0.054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6BA8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6177D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0.056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96C4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2.94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1691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80A14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0.928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DE26B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1.078</w:t>
            </w:r>
          </w:p>
        </w:tc>
      </w:tr>
      <w:tr w:rsidR="00E134EC" w14:paraId="6F7B31C7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F1CD2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Menopause status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FC3DB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99EDE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9AD54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3F40A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1.593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74F8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0.111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485D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0.342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4156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2.921</w:t>
            </w:r>
          </w:p>
        </w:tc>
      </w:tr>
      <w:tr w:rsidR="00E134EC" w14:paraId="3EE739D9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FCA90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Infertility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D206C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-0.013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54D48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0.021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765CBC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-0.015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2D5C8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-0.612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0E81D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0.54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87450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0.565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695C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1.769</w:t>
            </w:r>
          </w:p>
        </w:tc>
      </w:tr>
      <w:tr w:rsidR="00E134EC" w14:paraId="5355116B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1FCFDC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Menarche age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0C48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AB2FB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14B8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-0.047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F119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-2.473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A0540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B694E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0.917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D473B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1.091</w:t>
            </w:r>
          </w:p>
        </w:tc>
      </w:tr>
      <w:tr w:rsidR="00E134EC" w14:paraId="30F29B6E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7C8F5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Gestation times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2331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0.024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A1A36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1009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A2C4D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3.322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F470C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83EF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0.256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6B9F7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3.904</w:t>
            </w:r>
          </w:p>
        </w:tc>
      </w:tr>
      <w:tr w:rsidR="00E134EC" w14:paraId="54898B87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451B3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Parturition times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0820F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-0.009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41B9C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016C8D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-0.038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52F1E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-0.914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7B9B4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0.361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FA501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0.194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08A0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C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C00000"/>
                <w:kern w:val="0"/>
                <w:sz w:val="24"/>
                <w:lang w:bidi="ar"/>
              </w:rPr>
              <w:t>5.154</w:t>
            </w:r>
          </w:p>
        </w:tc>
      </w:tr>
      <w:tr w:rsidR="00E134EC" w14:paraId="2B09735B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7E87A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Age of first delivery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F42AD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-0.002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9F3E3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B5BFD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-0.069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38C8EA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-2.739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5A0E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17AECA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0.526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CD5E3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1.902</w:t>
            </w:r>
          </w:p>
        </w:tc>
      </w:tr>
      <w:tr w:rsidR="00E134EC" w14:paraId="3866F1A6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BC157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>Age of last delivery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11A3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-0.004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7286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B3D69A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-0.048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2B7B9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-2.258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B4958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0.024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A8820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0.744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DD901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1.343</w:t>
            </w:r>
          </w:p>
        </w:tc>
      </w:tr>
      <w:tr w:rsidR="00E134EC" w14:paraId="3A981ACB" w14:textId="77777777">
        <w:trPr>
          <w:jc w:val="center"/>
        </w:trPr>
        <w:tc>
          <w:tcPr>
            <w:tcW w:w="17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6D68A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Hemoglobin</w:t>
            </w:r>
          </w:p>
        </w:tc>
        <w:tc>
          <w:tcPr>
            <w:tcW w:w="12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0872D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1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4CAD1A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0.007</w:t>
            </w:r>
          </w:p>
        </w:tc>
        <w:tc>
          <w:tcPr>
            <w:tcW w:w="96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08C7E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0.001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DBD1C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0.056</w:t>
            </w:r>
          </w:p>
        </w:tc>
        <w:tc>
          <w:tcPr>
            <w:tcW w:w="54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11C7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0.955</w:t>
            </w:r>
          </w:p>
        </w:tc>
        <w:tc>
          <w:tcPr>
            <w:tcW w:w="11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D689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0.904</w:t>
            </w:r>
          </w:p>
        </w:tc>
        <w:tc>
          <w:tcPr>
            <w:tcW w:w="6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9D2AAA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1.106</w:t>
            </w:r>
          </w:p>
        </w:tc>
      </w:tr>
      <w:tr w:rsidR="00E134EC" w14:paraId="61DFBE47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62E07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HDL-C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20C36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DCA437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7BE7A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0.049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7EDB2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2.072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8F88F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0.038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AE3F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0.601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9BE97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1.663</w:t>
            </w:r>
          </w:p>
        </w:tc>
      </w:tr>
      <w:tr w:rsidR="00E134EC" w14:paraId="7222A1E5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39D15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TC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6EE4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7A745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26455E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-0.028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94D5D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-1.252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AEBAC4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0.211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4C9B5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0.663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16291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1.508</w:t>
            </w:r>
          </w:p>
        </w:tc>
      </w:tr>
      <w:tr w:rsidR="00E134EC" w14:paraId="65B03FF0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96D9C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TG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CD78B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F81BA0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74D59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0.033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29E38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1.449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65F552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0.148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A6A2BD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0.638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30BACF" w14:textId="77777777" w:rsidR="00E134EC" w:rsidRDefault="00E2599B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1.567</w:t>
            </w:r>
          </w:p>
        </w:tc>
      </w:tr>
    </w:tbl>
    <w:p w14:paraId="5FD94961" w14:textId="77777777" w:rsidR="00E134EC" w:rsidRDefault="00E2599B">
      <w:pPr>
        <w:rPr>
          <w:rFonts w:ascii="Times New Roman" w:hAnsi="Times New Roman" w:cs="Times New Roman"/>
          <w:color w:val="000000"/>
          <w:spacing w:val="8"/>
          <w:sz w:val="24"/>
        </w:rPr>
      </w:pPr>
      <w:r>
        <w:rPr>
          <w:rFonts w:ascii="Times New Roman" w:hAnsi="Times New Roman" w:cs="Times New Roman"/>
          <w:color w:val="000000"/>
          <w:spacing w:val="8"/>
          <w:sz w:val="24"/>
        </w:rPr>
        <w:t xml:space="preserve">Abbreviations: </w:t>
      </w:r>
      <w:r>
        <w:rPr>
          <w:rFonts w:ascii="Times New Roman" w:hAnsi="Times New Roman" w:cs="Times New Roman"/>
          <w:color w:val="000000"/>
          <w:spacing w:val="8"/>
          <w:sz w:val="24"/>
        </w:rPr>
        <w:t>B</w:t>
      </w:r>
      <w:r>
        <w:rPr>
          <w:rFonts w:ascii="Times New Roman" w:hAnsi="Times New Roman" w:cs="Times New Roman" w:hint="eastAsia"/>
          <w:color w:val="000000"/>
          <w:spacing w:val="8"/>
          <w:sz w:val="24"/>
        </w:rPr>
        <w:t xml:space="preserve">, Unstandardized Coefficient; </w:t>
      </w:r>
      <w:r>
        <w:rPr>
          <w:rFonts w:ascii="Times New Roman" w:hAnsi="Times New Roman" w:cs="Times New Roman"/>
          <w:color w:val="000000"/>
          <w:spacing w:val="8"/>
          <w:sz w:val="24"/>
        </w:rPr>
        <w:t>SE</w:t>
      </w:r>
      <w:r>
        <w:rPr>
          <w:rFonts w:ascii="Times New Roman" w:hAnsi="Times New Roman" w:cs="Times New Roman" w:hint="eastAsia"/>
          <w:color w:val="000000"/>
          <w:spacing w:val="8"/>
          <w:sz w:val="24"/>
        </w:rPr>
        <w:t xml:space="preserve">, Standard Error; </w:t>
      </w:r>
      <w:r>
        <w:rPr>
          <w:rFonts w:ascii="Times New Roman" w:hAnsi="Times New Roman" w:cs="Times New Roman"/>
          <w:color w:val="000000"/>
          <w:spacing w:val="8"/>
          <w:sz w:val="24"/>
        </w:rPr>
        <w:t>β</w:t>
      </w:r>
      <w:r>
        <w:rPr>
          <w:rFonts w:ascii="Times New Roman" w:hAnsi="Times New Roman" w:cs="Times New Roman" w:hint="eastAsia"/>
          <w:color w:val="000000"/>
          <w:spacing w:val="8"/>
          <w:sz w:val="24"/>
        </w:rPr>
        <w:t xml:space="preserve">, Standardized Coefficient; </w:t>
      </w:r>
      <w:r>
        <w:rPr>
          <w:rFonts w:ascii="Times New Roman" w:hAnsi="Times New Roman" w:cs="Times New Roman"/>
          <w:color w:val="000000"/>
          <w:spacing w:val="8"/>
          <w:sz w:val="24"/>
        </w:rPr>
        <w:t>t</w:t>
      </w:r>
      <w:r>
        <w:rPr>
          <w:rFonts w:ascii="Times New Roman" w:hAnsi="Times New Roman" w:cs="Times New Roman" w:hint="eastAsia"/>
          <w:color w:val="000000"/>
          <w:spacing w:val="8"/>
          <w:sz w:val="24"/>
        </w:rPr>
        <w:t xml:space="preserve">, t-statistic; </w:t>
      </w:r>
      <w:r>
        <w:rPr>
          <w:rFonts w:ascii="Times New Roman" w:hAnsi="Times New Roman" w:cs="Times New Roman"/>
          <w:color w:val="000000"/>
          <w:spacing w:val="8"/>
          <w:sz w:val="24"/>
        </w:rPr>
        <w:t>VIF</w:t>
      </w:r>
      <w:r>
        <w:rPr>
          <w:rFonts w:ascii="Times New Roman" w:hAnsi="Times New Roman" w:cs="Times New Roman" w:hint="eastAsia"/>
          <w:color w:val="000000"/>
          <w:spacing w:val="8"/>
          <w:sz w:val="24"/>
        </w:rPr>
        <w:t xml:space="preserve">, Variance Inflation Factor; </w:t>
      </w:r>
      <w:r>
        <w:rPr>
          <w:rFonts w:ascii="Times New Roman" w:hAnsi="Times New Roman" w:cs="Times New Roman"/>
          <w:color w:val="000000"/>
          <w:spacing w:val="8"/>
          <w:sz w:val="24"/>
        </w:rPr>
        <w:t xml:space="preserve">PIR, poverty income ratio; BMI, body mass index; MVWA,moderate-to-vigorous work activity; MVRA,moderate-to-vigorous recreational </w:t>
      </w:r>
      <w:r>
        <w:rPr>
          <w:rFonts w:ascii="Times New Roman" w:hAnsi="Times New Roman" w:cs="Times New Roman"/>
          <w:color w:val="000000"/>
          <w:spacing w:val="8"/>
          <w:sz w:val="24"/>
        </w:rPr>
        <w:t>activity; SB, Sedentary behavior; HDL-C,high-density lipoprotein-cholesterol; TC, total cholesterol; TG, triglyceride.</w:t>
      </w:r>
    </w:p>
    <w:p w14:paraId="004B730B" w14:textId="77777777" w:rsidR="00E134EC" w:rsidRDefault="00E134EC"/>
    <w:sectPr w:rsidR="00E134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4627D" w14:textId="77777777" w:rsidR="00E2599B" w:rsidRDefault="00E2599B" w:rsidP="00B90B22">
      <w:r>
        <w:separator/>
      </w:r>
    </w:p>
  </w:endnote>
  <w:endnote w:type="continuationSeparator" w:id="0">
    <w:p w14:paraId="4DD763F5" w14:textId="77777777" w:rsidR="00E2599B" w:rsidRDefault="00E2599B" w:rsidP="00B90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84AAC" w14:textId="77777777" w:rsidR="00E2599B" w:rsidRDefault="00E2599B" w:rsidP="00B90B22">
      <w:r>
        <w:separator/>
      </w:r>
    </w:p>
  </w:footnote>
  <w:footnote w:type="continuationSeparator" w:id="0">
    <w:p w14:paraId="08C68F8B" w14:textId="77777777" w:rsidR="00E2599B" w:rsidRDefault="00E2599B" w:rsidP="00B90B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4EC"/>
    <w:rsid w:val="00B90B22"/>
    <w:rsid w:val="00E134EC"/>
    <w:rsid w:val="00E2599B"/>
    <w:rsid w:val="0B292B6F"/>
    <w:rsid w:val="24433A9F"/>
    <w:rsid w:val="34384B8F"/>
    <w:rsid w:val="386F209F"/>
    <w:rsid w:val="490C7D41"/>
    <w:rsid w:val="5A7E3791"/>
    <w:rsid w:val="699A090F"/>
    <w:rsid w:val="6BFE51D8"/>
    <w:rsid w:val="7A4A3CF1"/>
    <w:rsid w:val="7BB526D0"/>
    <w:rsid w:val="7EBA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2A86C8"/>
  <w15:docId w15:val="{59AA836E-5A40-429C-A4D6-C29063569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Pr>
      <w:rFonts w:ascii="Arial" w:eastAsia="黑体" w:hAnsi="Arial"/>
      <w:sz w:val="20"/>
    </w:rPr>
  </w:style>
  <w:style w:type="character" w:styleId="a4">
    <w:name w:val="Strong"/>
    <w:basedOn w:val="a0"/>
    <w:qFormat/>
    <w:rPr>
      <w:b/>
    </w:r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b/>
      <w:bCs/>
      <w:i/>
      <w:iCs/>
      <w:color w:val="000000"/>
      <w:sz w:val="27"/>
      <w:szCs w:val="27"/>
      <w:u w:val="none"/>
    </w:rPr>
  </w:style>
  <w:style w:type="paragraph" w:styleId="a5">
    <w:name w:val="header"/>
    <w:basedOn w:val="a"/>
    <w:link w:val="a6"/>
    <w:rsid w:val="00B90B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90B2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B90B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90B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cheryl</cp:lastModifiedBy>
  <cp:revision>2</cp:revision>
  <dcterms:created xsi:type="dcterms:W3CDTF">2025-08-31T04:04:00Z</dcterms:created>
  <dcterms:modified xsi:type="dcterms:W3CDTF">2025-11-26T01:33:00Z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eyJoZGlkIjoiYzhlYWMzNDRjOTJjNDZmNjFiOWEwYTFhYmEyOTAzMDciLCJ1c2VySWQiOiIzNjMzNjUxNDQifQ==</vt:lpwstr>
  </property>
  <property fmtid="{D5CDD505-2E9C-101B-9397-08002B2CF9AE}" pid="4" name="ICV">
    <vt:lpwstr>BB555B1EC8134168B461B9A080F4C1B5_12</vt:lpwstr>
  </property>
</Properties>
</file>